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13" w:rsidRDefault="00021C13" w:rsidP="00052EAC">
      <w:pPr>
        <w:pStyle w:val="Default"/>
        <w:spacing w:line="276" w:lineRule="auto"/>
        <w:jc w:val="center"/>
        <w:rPr>
          <w:b/>
          <w:bCs/>
        </w:rPr>
      </w:pPr>
      <w:r w:rsidRPr="00052EAC">
        <w:rPr>
          <w:b/>
          <w:bCs/>
        </w:rPr>
        <w:t>Правила выдачи, подтверждения, обновления, приостановления действия сертификата, сужение или расширения области сертификата, аннулирования сертификата на работы(услуги).</w:t>
      </w:r>
    </w:p>
    <w:p w:rsidR="000B786F" w:rsidRPr="00052EAC" w:rsidRDefault="000B786F" w:rsidP="00052EAC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BF043F" w:rsidRPr="00052EAC" w:rsidRDefault="00BF043F" w:rsidP="000B786F">
      <w:pPr>
        <w:pStyle w:val="Default"/>
        <w:spacing w:line="276" w:lineRule="auto"/>
        <w:rPr>
          <w:b/>
          <w:bCs/>
        </w:rPr>
      </w:pPr>
      <w:r w:rsidRPr="00052EAC">
        <w:rPr>
          <w:b/>
          <w:bCs/>
        </w:rPr>
        <w:t>Выписка из документа № </w:t>
      </w:r>
      <w:hyperlink r:id="rId5" w:tgtFrame="_blank" w:tooltip="Документы СДС ИНТЕРГАЗСЕРТ" w:history="1">
        <w:r w:rsidRPr="00052EAC">
          <w:rPr>
            <w:b/>
          </w:rPr>
          <w:t>ОГН0.RU.0123</w:t>
        </w:r>
      </w:hyperlink>
      <w:r w:rsidRPr="00052EAC">
        <w:rPr>
          <w:b/>
          <w:bCs/>
        </w:rPr>
        <w:t> «Порядок сертификации работ</w:t>
      </w:r>
      <w:r w:rsidR="00AB077F" w:rsidRPr="00052EAC">
        <w:rPr>
          <w:b/>
          <w:bCs/>
        </w:rPr>
        <w:t xml:space="preserve"> </w:t>
      </w:r>
      <w:r w:rsidRPr="00052EAC">
        <w:rPr>
          <w:b/>
          <w:bCs/>
        </w:rPr>
        <w:t>(услуг)»</w:t>
      </w:r>
      <w:r w:rsidR="000B786F">
        <w:rPr>
          <w:b/>
          <w:bCs/>
        </w:rPr>
        <w:t>.</w:t>
      </w:r>
    </w:p>
    <w:p w:rsidR="000703AE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Подтверждение соответствия работ (услуг) в Системе ИНТЕРГАЗСЕРТ осуществляется в форме добровольной сертификации работ (услуг) по инициативе заявителя на условиях договора между заявителем и ОС по схемам, установленным в документе ОГН0.RU.0101 «Правила функционирования Системы добровольной сертификации ИНТЕРГАЗСЕРТ».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При сертификации работ (услуг) в Системе ИНТЕРГАЗСЕРТ проверяют характеристики (показатели) работы (услуги) и используют методы испытаний (измерений), конечного результата оказания работы (услуги), позволяющие: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проверить принадлежность работы (услуги) к классификационной группировке в соответствии с ОК-029-2014;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полно и достоверно подтвердить соответствие работы (услуги) требованиям, документов по стандартизации, Системой ИНТЕРГАЗСЕРТ и договорами (контрактами), направленными на обеспечение её качества, а также другим требованиям, которые должны проверяться при сертификации.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При сертификации оценивается соответствие работ (услуг) требованиям ПАО «Газпром» (СТО Газпром, Р Газпром), ГОСТ Р, ГОСТ и т.д.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 xml:space="preserve"> При сертификации работ (услуг) применяют схемы сертификации, при выборе которых необходимо учитывать особенности выполнения работ (оказания услуг), требуемый уровень доказательности сертификации, возможные затраты заявителя. </w:t>
      </w:r>
    </w:p>
    <w:p w:rsidR="007642BE" w:rsidRPr="00052EAC" w:rsidRDefault="007642BE" w:rsidP="00052EAC">
      <w:pPr>
        <w:pStyle w:val="Default"/>
        <w:spacing w:line="276" w:lineRule="auto"/>
        <w:ind w:firstLine="709"/>
        <w:jc w:val="both"/>
      </w:pPr>
    </w:p>
    <w:p w:rsidR="00BF043F" w:rsidRPr="00052EAC" w:rsidRDefault="00BF043F" w:rsidP="00052EAC">
      <w:pPr>
        <w:pStyle w:val="Default"/>
        <w:spacing w:line="276" w:lineRule="auto"/>
        <w:jc w:val="both"/>
        <w:rPr>
          <w:b/>
          <w:bCs/>
        </w:rPr>
      </w:pPr>
      <w:r w:rsidRPr="00052EAC">
        <w:rPr>
          <w:b/>
          <w:bCs/>
        </w:rPr>
        <w:t>Пор</w:t>
      </w:r>
      <w:r w:rsidR="007642BE" w:rsidRPr="00052EAC">
        <w:rPr>
          <w:b/>
          <w:bCs/>
        </w:rPr>
        <w:t>ядок сертификации работ (услуг)</w:t>
      </w:r>
    </w:p>
    <w:p w:rsidR="00BF043F" w:rsidRPr="00052EAC" w:rsidRDefault="00BF043F" w:rsidP="00052EAC">
      <w:pPr>
        <w:pStyle w:val="Default"/>
        <w:spacing w:line="276" w:lineRule="auto"/>
        <w:jc w:val="both"/>
      </w:pPr>
      <w:r w:rsidRPr="00052EAC">
        <w:rPr>
          <w:bCs/>
        </w:rPr>
        <w:t>Этапы сертификации: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Порядок сертификации работ (услуг), проводимый ОС, состоит из следующих этапов: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подача заявки в электронном виде на проведение сертификации;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подбор органов по сертификации Центральным органом Системы;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выбор заявителем органа по сертификации работ (услуг);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анализ заявки и принятие решения по заявке органом по сертификации работ (услуг), окончательный выбор схемы сертификации совместно с заявителем;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заключение договора на проведение работ по сертификации работ (услуг);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формирование экспертной группы по сертификации (далее – экспертной группы);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подтверждение соответствия, включающее проведение мероприятий в соответствии со схемой сертификации;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анализ полученных результатов и принятие решения о выдаче (об отказе в выдаче) сертификата соответствия;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>‒ выдача сертификата соответствия;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 xml:space="preserve">‒ инспекционный контроль за выполнением сертифицированной работы (услуги). </w:t>
      </w:r>
    </w:p>
    <w:p w:rsidR="00BF043F" w:rsidRPr="00052EAC" w:rsidRDefault="00BF043F" w:rsidP="00052EAC">
      <w:pPr>
        <w:pStyle w:val="Default"/>
        <w:spacing w:line="276" w:lineRule="auto"/>
        <w:ind w:firstLine="709"/>
        <w:jc w:val="both"/>
      </w:pPr>
      <w:r w:rsidRPr="00052EAC">
        <w:t xml:space="preserve"> </w:t>
      </w:r>
    </w:p>
    <w:p w:rsidR="00BF043F" w:rsidRPr="00052EAC" w:rsidRDefault="0074362D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>Решение по сертификации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Руководитель ОС несет ответственность за решения, касающиеся сертификации, и обладает соответствующими полномочиями для их принятия.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lastRenderedPageBreak/>
        <w:t xml:space="preserve">Руководитель принимает решение о выдаче (отказе в выдаче) сертификата соответствия на основании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- акта готовности заявителя выполнять работы;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- акта оценки процесса выполнения работы (оказания услуг);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- проверки (испытания) результатов выполнения работы (оказания услуги).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Обязательным условием для принятия положительного решения о выдаче сертификата соответствия является: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отсутствие несоответствий (устранение всех несоответствий);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наличие свидетельства об оценке деловой репутации (при схемах сертификации по типу «a»);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наличие сертификата соответствия СМК требованиям СТО Газпром 9001 (при схемах сертификации по типу «а», «b»);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наличие сертификата соответствия СМК требованиям ISO 9001, ГОСТ ISO, ГОСТ Р ИСО 9001 (при схемах сертификации по типу «с»).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На момент выполнения сертифицированной работы (оказания сертифицированной услуги) у сертифицированного Заявителя должен быть заключен договор на проведение инспекционного контроля.</w:t>
      </w:r>
    </w:p>
    <w:p w:rsidR="007642BE" w:rsidRPr="00052EAC" w:rsidRDefault="007642BE" w:rsidP="00052EAC">
      <w:pPr>
        <w:pStyle w:val="Default"/>
        <w:spacing w:line="276" w:lineRule="auto"/>
        <w:ind w:firstLine="709"/>
        <w:jc w:val="both"/>
      </w:pPr>
    </w:p>
    <w:p w:rsidR="007642BE" w:rsidRPr="00052EAC" w:rsidRDefault="0074362D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>Документация по сертификации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В случае положительного решения ОС оформляет и регистрирует сертификат соответствия в реестре Системы ИНТЕРГАЗСЕРТ в соответствии с документом ОГН0.RU.0127 «Система добровольной сертификации ИНТЕРГАЗСЕРТ. Положение о реестре Системы».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Для получения регистрационного номера сертификата ОС представляет в Центральный орган Системы проект сертификата соответствия и документы, послужившие основанием для выдачи сертификата.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Дата вступления в силу сертификата соответствия не должна быть более ранней, чем дата принятия решения о сертификации.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Сертификат соответствия оформляется в течение трех рабочих дней с момента принятия положительного решения о сертификации. Сведения о сертифицированной работе (услуге) и копию сертификата соответствия Руководитель ОС направляет в Центральный орган Системы на бумажном и электронном носителях, не позднее трех рабочих дней после его подписания.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ОС готовит и направляет заявителю проект договора на проведение инспекционного контроля и разрешение на применение знака соответствия (для схем класса «a»).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. Срок действия сертификата соответствия и разрешения на применение знака соответствия указывается в сертификате и договоре на проведение инспекционного контроля и исчисляется с момента даты регистрации. Срок действия сертификата соответствия и разрешения на применение знака соответствия не должен превышать трех лет.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Заявитель обязан уведомить ОС, если был изменен технологический процесс выполнения работы (оказания услуги).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При внесении изменений в технологический процесс выполнения сертифицированной работы (оказания сертифицированной услуги), которые могут повлиять на её соответствие требованиям документов, на соответствие которым она была </w:t>
      </w:r>
      <w:r w:rsidRPr="00052EAC">
        <w:lastRenderedPageBreak/>
        <w:t>сертифицирована, орган по сертификации принимает решение о необходимости проведения новой оценки процесса выполнения работы (оказания услуги).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Если указанные изменения внесены без согласования с органом по сертификации работ (услуг), действие сертификата соответствия и разрешения на применение знака соответствия приостанавливаются до момента принятия решения органом по сертификации.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По запросу заявителя ОС может выдать сертификат соответствия на английском языке путем аутентичного перевода сертификата соответствия, выпущенного на русском языке, сохраняя регистрационный номер сертификата. </w:t>
      </w:r>
    </w:p>
    <w:p w:rsidR="007642BE" w:rsidRPr="00052EAC" w:rsidRDefault="007642BE" w:rsidP="00052EAC">
      <w:pPr>
        <w:pStyle w:val="Default"/>
        <w:spacing w:line="276" w:lineRule="auto"/>
        <w:ind w:firstLine="709"/>
        <w:jc w:val="both"/>
      </w:pP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>Инспекционный контроль за сертифицированной работой (услугой)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Инспекционный контроль осуществляется с целью установления того, продолжает ли выполняемая работа (оказываемая услуга) соответствовать требованиям, на соответствие которым она была сертифицирована, и применяется ли должным образом маркировка знаком соответствия.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При инспекционном контроле предусматриваются плановые проверки с установленной периодичностью, а в случае необходимости – по решению ОС проводятся внеплановые проверки.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Первый плановый инспекционный контроль должен проводиться не позднее, чем через двенадцать месяцев, а второй плановый инспекционный контроль не позднее, чем через двадцать четыре месяца начиная от даты принятия решения о выдаче сертификата соответствия. За два месяца до срока проведения инспекционного контроля главным экспертом составляется письмо-уведомление о необходимости проведения инспекционного контроля. подписывается руководителем ОС и направляется заявителю. В случае невозможности проведения инспекционного контроля в установленные сроки по причинам, связанным с держателем сертификата, ОС должен приостановить действие сертификата соответствия. Период приостановления действия сертификата не должен превышать шести месяцев. После чего сертификат должен быть отменен (аннулирован).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Внеплановые инспекционные контроли по решению ОС проводят в случаях: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‒ поступления информации о нарушениях требований к выполняемой работе (оказываемой услуге), вызывающих необходимость проверки до наступления планового срока проведения очередного инспекционного контроля;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необходимости возобновления сертификата соответствия, действие которого было приостановлено в период его действия;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решения Комиссии по жалобам и апелляциям Центрального органа Системы, связанных с рассмотрением жалоб на сертифицированного заявителя;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‒ по инициативе сертифицированного заявителя при расширении области сертификации.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Объем внепланового инспекционного контроля определяется, исходя из полученной информации и характера отмеченных в ней нарушений установленных требований.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 xml:space="preserve">Внеплановые инспекционные контроли проводятся за счет заявителя. </w:t>
      </w: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</w:pPr>
      <w:r w:rsidRPr="00052EAC">
        <w:t>Инспекционный контроль за сертифицированной работой (услугой) осуществляет ОС, выдавший сертификат соответствия в соответствии с утвержденной программой.</w:t>
      </w:r>
    </w:p>
    <w:p w:rsidR="007642BE" w:rsidRPr="00052EAC" w:rsidRDefault="007642BE" w:rsidP="00052EAC">
      <w:pPr>
        <w:pStyle w:val="Default"/>
        <w:spacing w:line="276" w:lineRule="auto"/>
        <w:ind w:firstLine="709"/>
        <w:jc w:val="both"/>
      </w:pPr>
    </w:p>
    <w:p w:rsidR="0074362D" w:rsidRPr="00052EAC" w:rsidRDefault="0074362D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>Приостановление действия и аннулирование сертификата соответствия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lastRenderedPageBreak/>
        <w:t xml:space="preserve">Приостановление действия сертификата соответствия и разрешения на применение знака соответствия осуществляется в случаях: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держатель сертификата соответствия отказывается от проведения инспекционного контроля или его оплаты, не позволяет проводить инспекционный контроль с требуемой периодичностью;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по результатам инспекционного контроля выявлены несоответствия работы (услуги) требованиям нормативных документов;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неполучения органом по сертификации в установленный срок информации об устранении несоответствий, выявленных при проведении инспекционного контроля;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держатель сертификата соответствия отказывается от проведения внепланового инспекционного контроля или его оплаты;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при получении информации от Центрального органа Системы о приостановлении действия сертификата соответствия СМК требованиям СТО Газпром 9001 (для схем сертификации типа «а» и «b»);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при получении информации от Центрального органа Системы о приостановлении действия сертификата соответствия СМК требованиям ISO 9001, ГОСТ ISO 9001, ГОСТ Р ИСО 9001 (для схем сертификации типа «с»);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при получении информации от Центрального органа Системы о приостановлении действия свидетельства об оценке деловой репутации (для схем сертификации типа «a»);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при нарушении правил использования сертификата и знака соответствия;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‒ держатель сертификата соответствия добровольно направил запрос о приостановлении действия сертификата. </w:t>
      </w:r>
    </w:p>
    <w:p w:rsidR="0074362D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>Приостановление осуществляется на срок проведения корректирующих мероприятий по устранению несоответствий, но не более 30 календарных дней. В случае, если проверка устранения несоответствий требует проведения длительных испытаний, срок приостановления действия сертификата может быть увеличен по согласованию сторон.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Приостановление действия сертификата соответствия вступает в силу с момента принятия решения ОС.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>ОС письменно информирует о приостановлении действия сертификата соответствия заявителя, Центральный орган Системы для соответствующей регистрации в реестре, а также заинтересованные стороны.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В решении о приостановлении действия сертификата соответствия должен быть указан перечень мероприятий, обеспечивающих возобновление действия сертификата соответствия и/или соглашения о применении знака соответствия.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 xml:space="preserve">В случае приостановления действия сертификата соответствия заявитель разрабатывает корректирующие мероприятия по устранению выявленных несоответствий и их причин, согласовывает их с органом по сертификации работ (услуг) путем направления плана корректирующих мероприятий в адрес органа по сертификации работ (услуг), обеспечивает выполнение корректирующих мероприятий по устранению несоответствий и их причин, информирует орган по сертификации работ (услуг) о выполнении корректирующих мероприятий. Орган по сертификации организует проверку устранения всех выявленных несоответствий. </w:t>
      </w:r>
    </w:p>
    <w:p w:rsidR="005C36DB" w:rsidRPr="00052EAC" w:rsidRDefault="005C36DB" w:rsidP="00052EAC">
      <w:pPr>
        <w:pStyle w:val="Default"/>
        <w:spacing w:line="276" w:lineRule="auto"/>
        <w:ind w:firstLine="709"/>
        <w:jc w:val="both"/>
      </w:pPr>
      <w:r w:rsidRPr="00052EAC">
        <w:t>При положительных результатах проверки выполнения корректирующих мероприятий ОС принимает решение о возобновлении действия сертификата соответствия. При отрицательных результатах проверки выполнения корректирующих мероприятий ОС принимает решение об аннулировании сертификата соответствия.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Аннулирование сертификата и/или разрешения о применении знака соответствия осуществляется в следующих случаях: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выявления инспекционным органом, Координационным органом Системы фактов нарушения соблюдения участниками Системы распорядительных и методических документов, действующих в Системе ИНТЕРГАЗСЕРТ;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выявления несоответствий, которые не могут быть устранены в течение 30 календарных дней;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в установленные сроки не проведены корректирующие мероприятия и не устранены причины, повлекшие приостановление действия сертификата соответствия;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на начало выполнения сертифицированной работы (оказания сертифицированной услуги) отказывается заключать договор на инспекционный контроль;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отказывается соблюдать условия договора на инспекционный контроль (или других согласованных с держателем сертификата документов, например, разрешения о применении знака соответствия);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в период приостановления сертификата соответствия выявлены нарушения правил его использования и применения знака соответствия;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>‒ получена информация от Центрального органа Системы об аннулировании действия сертификата соответствия СМК требованиям СТО Газпром 9001 (для схем сертификации типа «а» и «b»);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>‒ получена информация от Центрального органа Системы об аннулировании действия сертификата соответствия СМК требованиям ISO 9001, ГОСТ ISO 9001, ГОСТ Р ИСО 9001 (для схем сертификации типа «с»);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получение информации от Центрального органа Системы об отрицательном решении при подтверждении деловой репутации (для схем сертификации типа «а»);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прекратил деятельность как юридическое лицо путем ликвидации или путем присоединения к другому юридическому лицу;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прекратил производство продукции, на которую распространяется сертификат;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добровольно сделал запрос об аннулировании действия сертификата.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Аннулирование действия сертификата соответствия вступает в силу с момента принятия решения ОС. </w:t>
      </w:r>
    </w:p>
    <w:p w:rsidR="00261DD0" w:rsidRPr="00052EAC" w:rsidRDefault="00261DD0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ОС письменно информирует об аннулировании сертификата соответствия заявителя, Центральный орган Системы для соответствующей регистрации в реестре, а также заинтересованные стороны.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>При аннулировании свидетельства о признании компетентности у органа по сертификации работ (услуг), выданные им сертификаты соответствия, действуют до очередного планового инспекционного контроля, осуществляемого органом по сертификации работ (услуг), определяемого заявителем по согласованию с Центральным органом Системы.</w:t>
      </w:r>
    </w:p>
    <w:p w:rsidR="00261DD0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проведения планового инспекционного контроля сертификат соответствия заменяется, однако срок его действия остается прежним.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84" w:rsidRPr="00052EAC" w:rsidRDefault="001C7E84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>Сужение области действия сертификата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Сужение области сертификации проводится по инициативе: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‒ держателя сертификата соответствия, который направляет в ОС письмо с указанием исключаемого вида работы (услуги);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‒ ОС (по результатам инспекционного контроля, либо при получении информации о несоответствии работы (услуги) установленным требованиям).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Держателю сертификата соответствия выдают новый сертификат соответствия на суженную область действия сертификата с сохранением срока действия отмененного сертификата соответствия. Отмененный сертификат соответствия подлежит возврату в ОС. </w:t>
      </w:r>
    </w:p>
    <w:p w:rsidR="007642BE" w:rsidRPr="00052EAC" w:rsidRDefault="007642BE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E84" w:rsidRPr="00052EAC" w:rsidRDefault="001C7E84" w:rsidP="00052EAC">
      <w:pPr>
        <w:pStyle w:val="Default"/>
        <w:spacing w:line="276" w:lineRule="auto"/>
        <w:ind w:firstLine="709"/>
        <w:jc w:val="both"/>
        <w:rPr>
          <w:b/>
        </w:rPr>
      </w:pPr>
      <w:r w:rsidRPr="00052EAC">
        <w:rPr>
          <w:b/>
        </w:rPr>
        <w:t xml:space="preserve">Переоформление сертификата соответствия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При изменении каких–либо данных о заявителе, исполнителе работ (услуг) (сменился адрес, наименование и другие реквизиты) держатель сертификата соответствия обращается в ОС с соответствующим заявлением.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 xml:space="preserve">При переоформлении сертификата соответствия необходимость проведения анализа состояния производства определяет ОС. 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EAC">
        <w:rPr>
          <w:rFonts w:ascii="Times New Roman" w:hAnsi="Times New Roman" w:cs="Times New Roman"/>
          <w:color w:val="000000"/>
          <w:sz w:val="24"/>
          <w:szCs w:val="24"/>
        </w:rPr>
        <w:t>При переоформлении сертификата класса «a» заявитель должен предварительно получить свидетельство об оценке деловой репутации в соответствии ОГН0.RU.0124 «Оценка деловой репутации».</w:t>
      </w:r>
    </w:p>
    <w:p w:rsidR="001C7E84" w:rsidRPr="00052EAC" w:rsidRDefault="001C7E84" w:rsidP="00052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7E84" w:rsidRPr="0005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E3C"/>
    <w:multiLevelType w:val="hybridMultilevel"/>
    <w:tmpl w:val="846234D8"/>
    <w:lvl w:ilvl="0" w:tplc="EBB052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7D0"/>
    <w:multiLevelType w:val="multilevel"/>
    <w:tmpl w:val="5C62A94C"/>
    <w:lvl w:ilvl="0">
      <w:start w:val="1"/>
      <w:numFmt w:val="decimal"/>
      <w:lvlText w:val="%1"/>
      <w:lvlJc w:val="center"/>
      <w:pPr>
        <w:tabs>
          <w:tab w:val="num" w:pos="5161"/>
        </w:tabs>
        <w:ind w:left="4083" w:firstLine="737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2156"/>
        </w:tabs>
        <w:ind w:left="1022" w:firstLine="6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45"/>
        </w:tabs>
        <w:ind w:left="214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D"/>
    <w:rsid w:val="00021C13"/>
    <w:rsid w:val="00052EAC"/>
    <w:rsid w:val="000703AE"/>
    <w:rsid w:val="000B786F"/>
    <w:rsid w:val="001C7E84"/>
    <w:rsid w:val="00261DD0"/>
    <w:rsid w:val="005C36DB"/>
    <w:rsid w:val="0074362D"/>
    <w:rsid w:val="007642BE"/>
    <w:rsid w:val="00966EFD"/>
    <w:rsid w:val="00AB077F"/>
    <w:rsid w:val="00B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3A5E-E940-4C3D-8DFB-4CAFC58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043F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043F"/>
    <w:pPr>
      <w:keepNext/>
      <w:numPr>
        <w:ilvl w:val="3"/>
        <w:numId w:val="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43F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43F"/>
    <w:pPr>
      <w:keepNext/>
      <w:numPr>
        <w:ilvl w:val="5"/>
        <w:numId w:val="2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043F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043F"/>
    <w:pPr>
      <w:keepNext/>
      <w:numPr>
        <w:ilvl w:val="7"/>
        <w:numId w:val="2"/>
      </w:numPr>
      <w:spacing w:after="0" w:line="312" w:lineRule="auto"/>
      <w:outlineLvl w:val="7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043F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043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F0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0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0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43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1C7E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C7E8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gazcert.ru/about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7</cp:revision>
  <dcterms:created xsi:type="dcterms:W3CDTF">2019-01-31T10:37:00Z</dcterms:created>
  <dcterms:modified xsi:type="dcterms:W3CDTF">2019-02-07T14:52:00Z</dcterms:modified>
</cp:coreProperties>
</file>